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3" w:rsidRPr="00162F33" w:rsidRDefault="00162F33" w:rsidP="007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F33">
        <w:rPr>
          <w:rFonts w:ascii="Times New Roman" w:hAnsi="Times New Roman" w:cs="Times New Roman"/>
          <w:b/>
          <w:sz w:val="27"/>
          <w:szCs w:val="27"/>
        </w:rPr>
        <w:t>8. Критерии доступности и качества медицинской помощи</w:t>
      </w:r>
    </w:p>
    <w:p w:rsidR="00162F33" w:rsidRDefault="00162F33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62F33" w:rsidRPr="00162F33" w:rsidRDefault="00162F33" w:rsidP="00716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2F33">
        <w:rPr>
          <w:rFonts w:ascii="Times New Roman" w:hAnsi="Times New Roman" w:cs="Times New Roman"/>
          <w:sz w:val="27"/>
          <w:szCs w:val="27"/>
        </w:rPr>
        <w:t xml:space="preserve">В соответствии с Территориальной программой устанавливаются </w:t>
      </w:r>
      <w:proofErr w:type="gramStart"/>
      <w:r w:rsidRPr="00162F33">
        <w:rPr>
          <w:rFonts w:ascii="Times New Roman" w:hAnsi="Times New Roman" w:cs="Times New Roman"/>
          <w:sz w:val="27"/>
          <w:szCs w:val="27"/>
        </w:rPr>
        <w:t>целевые</w:t>
      </w:r>
      <w:proofErr w:type="gramEnd"/>
    </w:p>
    <w:p w:rsidR="00162F33" w:rsidRPr="00162F33" w:rsidRDefault="00162F33" w:rsidP="007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2F33">
        <w:rPr>
          <w:rFonts w:ascii="Times New Roman" w:hAnsi="Times New Roman" w:cs="Times New Roman"/>
          <w:sz w:val="27"/>
          <w:szCs w:val="27"/>
        </w:rPr>
        <w:t>значения критериев доступности и качества медицинской помощи, на основе</w:t>
      </w:r>
    </w:p>
    <w:p w:rsidR="00162F33" w:rsidRPr="00162F33" w:rsidRDefault="00162F33" w:rsidP="00716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2F33">
        <w:rPr>
          <w:rFonts w:ascii="Times New Roman" w:hAnsi="Times New Roman" w:cs="Times New Roman"/>
          <w:sz w:val="27"/>
          <w:szCs w:val="27"/>
        </w:rPr>
        <w:t>которых комплексно оценивается уровень и динамика следующих показателей:</w:t>
      </w:r>
    </w:p>
    <w:p w:rsidR="00162F33" w:rsidRPr="00BC3FBF" w:rsidRDefault="00162F33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162F33" w:rsidRPr="0071646D" w:rsidRDefault="00162F33" w:rsidP="007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F33">
        <w:rPr>
          <w:rFonts w:ascii="Times New Roman" w:hAnsi="Times New Roman" w:cs="Times New Roman"/>
          <w:b/>
          <w:sz w:val="27"/>
          <w:szCs w:val="27"/>
        </w:rPr>
        <w:t>Критерии качества медицинской помощи</w:t>
      </w:r>
    </w:p>
    <w:p w:rsidR="00162F33" w:rsidRDefault="00162F33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580"/>
        <w:gridCol w:w="4631"/>
        <w:gridCol w:w="1418"/>
        <w:gridCol w:w="1559"/>
        <w:gridCol w:w="1383"/>
      </w:tblGrid>
      <w:tr w:rsidR="00162F33" w:rsidTr="00162F33">
        <w:tc>
          <w:tcPr>
            <w:tcW w:w="580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критериев качества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 помощи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0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31" w:type="dxa"/>
          </w:tcPr>
          <w:p w:rsidR="00162F33" w:rsidRDefault="00162F33" w:rsidP="000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162F33" w:rsidRDefault="00162F33" w:rsidP="000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162F33" w:rsidRDefault="00162F33" w:rsidP="000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83" w:type="dxa"/>
          </w:tcPr>
          <w:p w:rsidR="00162F33" w:rsidRDefault="00162F33" w:rsidP="00034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Удовлетворенность населения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 помощью (проценты от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числа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опрошенных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76,0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77,0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78,0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Смертность населения в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трудоспособном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возрасте (число умерших в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трудоспособном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на 100 тыс.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человек населения)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304,0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304,0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304,0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умерших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трудоспособном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на дому в общем количестве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умерших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трудоспособном возрасте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34,0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33,0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33,0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Материнская смертность (на 100 тыс.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человек, родившихся живыми)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10,4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Младенческая смертность (на 1 тыс.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человек, родившихся живыми)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5,3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5,1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умерших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возрасте до 1 года на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дому в общем количестве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умерших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до 1 года (проценты)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5,7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Смертность детей в возрасте 0-4 лет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(на 1 тыс.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родившихся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живыми)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6,8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6,4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Смертность населения (число умерших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 1 тыс. человек населения)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9,86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9,84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9,83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умерших в возрасте 0-4 лет на дому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в общем количестве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умерших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возрасте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0-4 лет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6,4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6,3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Смертность детей в возрасте 0-17 лет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(на 100 тыс. детей соответствующего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возраста)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61,0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59,0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умерших в возрасте 0-17 лет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дому в общем количестве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умерших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0-17 лет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9,4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9,4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9,4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впервые выявленных 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заболеваний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при профилактических медицинских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осмотрах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, в том числе в рамках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диспансеризации, в общем количестве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впервые в жизни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зарегистрированных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заболеваний в течение года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19,9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впервые выявленных заболеваний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при профилактических медицинских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осмотрах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, в том числе в рамках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диспансеризации, лиц старше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трудоспособного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возраста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общем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количестве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впервые в жизни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зарегистрированных заболеваний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течение года у лиц старше трудоспособного возраста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2,1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2,2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2,3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со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злокачественными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новообразованиями,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находящихся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под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диспансерным наблюдением с даты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установления диагноза 5 лет и более,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общем числе пациентов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злокачественными новообразованиями,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находящихся под диспансерным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наблюдением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56,9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57,8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58,7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впервые выявленных случаев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онкологических заболеваний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ранних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стадиях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(I и II стадии) в общем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количестве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выявленных случаев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онкологических заболеваний в течение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года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62,0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62,3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62,5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со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злокачественными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новообразованиями,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выявленных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активно, в общем количестве пациентов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со злокачественными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новообразованиями, взятыми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proofErr w:type="gramEnd"/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диспансерное наблюдение (проценты)</w:t>
            </w: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27,2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27,4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27,6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лиц, инфицированных вирусом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иммунодефицита человека,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получающих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антиретровирусную</w:t>
            </w:r>
            <w:proofErr w:type="spell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терапию, в 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общем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количестве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лиц, инфицированных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вирусом иммунодефицита человека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56,0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57,0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58,0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впервые выявленных случаев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фиброзно-кавернозного туберкулеза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общем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количестве выявленных случаев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туберкулеза в течение года (проценты)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631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пациентов с инфарктом миокарда,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госпитализированных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 первые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12 часов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от начала заболевания, в общем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госпитализированных</w:t>
            </w:r>
            <w:proofErr w:type="gramEnd"/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пациентов с инфарктом миокарда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559" w:type="dxa"/>
          </w:tcPr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72,0</w:t>
            </w:r>
          </w:p>
        </w:tc>
        <w:tc>
          <w:tcPr>
            <w:tcW w:w="1383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73,0</w:t>
            </w:r>
          </w:p>
          <w:p w:rsid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пациентов с острым инфарктом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миокарда, которым проведено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стентирование</w:t>
            </w:r>
            <w:proofErr w:type="spell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коронарных артерий,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общем количестве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инфарктом миокарда,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имеющих</w:t>
            </w:r>
            <w:proofErr w:type="gramEnd"/>
          </w:p>
          <w:p w:rsidR="00162F33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показания к его проведению (проценты)</w:t>
            </w:r>
            <w:r w:rsidRPr="0071646D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559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81,0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83,0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и повторным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инфарктом миокарда, которым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выездной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бригадой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проведен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тромболизис</w:t>
            </w:r>
            <w:proofErr w:type="spell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, в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общем количестве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повторным инфарктом миокарда,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имеющих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показания к его проведению,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которым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оказана медицинская помощь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выездными бригадами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скорой</w:t>
            </w:r>
            <w:proofErr w:type="gramEnd"/>
          </w:p>
          <w:p w:rsidR="00162F33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 помощи (проценты)</w:t>
            </w:r>
            <w:r w:rsidRPr="00162F3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7</w:t>
            </w:r>
          </w:p>
        </w:tc>
        <w:tc>
          <w:tcPr>
            <w:tcW w:w="1418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97,0</w:t>
            </w:r>
          </w:p>
        </w:tc>
        <w:tc>
          <w:tcPr>
            <w:tcW w:w="1559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99,0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2F33" w:rsidTr="00162F33">
        <w:tc>
          <w:tcPr>
            <w:tcW w:w="580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пациентов с острым инфарктом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миокарда, которым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проведена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тромболитическая</w:t>
            </w:r>
            <w:proofErr w:type="spell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терапия, в общем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количестве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инфарктом миокарда,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имеющих</w:t>
            </w:r>
            <w:proofErr w:type="gramEnd"/>
          </w:p>
          <w:p w:rsidR="00162F33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показания к ее проведению 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(проценты)</w:t>
            </w:r>
            <w:r w:rsidRPr="00162F3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7</w:t>
            </w:r>
          </w:p>
        </w:tc>
        <w:tc>
          <w:tcPr>
            <w:tcW w:w="1418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97,0</w:t>
            </w:r>
          </w:p>
        </w:tc>
        <w:tc>
          <w:tcPr>
            <w:tcW w:w="1559" w:type="dxa"/>
          </w:tcPr>
          <w:p w:rsidR="00162F33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99,0</w:t>
            </w:r>
          </w:p>
          <w:p w:rsidR="00162F33" w:rsidRPr="00162F33" w:rsidRDefault="00162F33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острыми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цереброваскулярными болезнями,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госпитализированных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 первые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6 часов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от начала заболевания, в общем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госпитализированных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первичные сосудистые отделения или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региональные сосудистые центры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острыми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цереброваскулярными болезнями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32,5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32,8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ишемическим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инсультом, которым проведена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тромболитическая</w:t>
            </w:r>
            <w:proofErr w:type="spell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терапия, в общем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количестве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пациентов с острым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ишемическим инсультом,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госпитализированных в первичные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сосудистые отделения или региональные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сосудистые центры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 первые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6 часов от начала заболевания (проценты)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97,0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97,5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97,5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ишемическим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инсультом, которым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проведена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тромболитическая</w:t>
            </w:r>
            <w:proofErr w:type="spell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терапия, в общем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количестве пациентов с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острым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ишемическим инсультом,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госпитализированных в первичные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сосудистые отделения или региональные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сосудистые центры (процент)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4,7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5,1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Количество обоснованных жалоб, в том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числе на отказ в оказании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помощи, предоставляемой в рамках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Территориальной программы (процент)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впервые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выявленных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онкологических заболеваний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при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профилактических медицинских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осмотрах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, в том числе в рамках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диспансеризации, в общем количестве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впервые в жизни зарегистрированных онкологических заболеваний в течение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года (проценты)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8,5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8,6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8,7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пациентов со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злокачественными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новообразованиями,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взятых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под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диспансерное наблюдение, в общем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количестве пациентов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злокачественными новообразованиями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  <w:r w:rsidRPr="00162F33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9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98,6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98,7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пациентов, получивших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паллиативную медицинскую помощь,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общем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количестве пациентов,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нуждающихся в паллиативной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 помощи (проценты)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63,0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162F33">
        <w:tc>
          <w:tcPr>
            <w:tcW w:w="580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631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пациентов, получающих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обезболивание в рамках оказания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паллиативной медицинской помощи,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общем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расчетном количестве пациентов,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 факту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нуждающихся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обезболивании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при оказании паллиативной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едицинской помощи (проценты)</w:t>
            </w:r>
          </w:p>
        </w:tc>
        <w:tc>
          <w:tcPr>
            <w:tcW w:w="1418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71646D" w:rsidRPr="00162F33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2F33" w:rsidRPr="00162F33" w:rsidRDefault="00162F33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62F33" w:rsidRPr="00162F33" w:rsidRDefault="00162F33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62F33">
        <w:rPr>
          <w:rFonts w:ascii="Times New Roman" w:hAnsi="Times New Roman" w:cs="Times New Roman"/>
          <w:i/>
          <w:iCs/>
          <w:sz w:val="11"/>
          <w:szCs w:val="11"/>
        </w:rPr>
        <w:t xml:space="preserve"> </w:t>
      </w:r>
    </w:p>
    <w:p w:rsidR="00162F33" w:rsidRPr="00162F33" w:rsidRDefault="00162F33" w:rsidP="00716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2F33">
        <w:rPr>
          <w:rFonts w:ascii="Times New Roman" w:hAnsi="Times New Roman" w:cs="Times New Roman"/>
          <w:b/>
          <w:sz w:val="27"/>
          <w:szCs w:val="27"/>
        </w:rPr>
        <w:t>Критерии доступности медицинской помощи</w:t>
      </w:r>
    </w:p>
    <w:p w:rsidR="0071646D" w:rsidRDefault="0071646D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580"/>
        <w:gridCol w:w="4653"/>
        <w:gridCol w:w="1413"/>
        <w:gridCol w:w="1549"/>
        <w:gridCol w:w="1376"/>
      </w:tblGrid>
      <w:tr w:rsidR="0071646D" w:rsidTr="0071646D">
        <w:tc>
          <w:tcPr>
            <w:tcW w:w="534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критериев</w:t>
            </w:r>
          </w:p>
          <w:p w:rsidR="0071646D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доступности медицинской помощи</w:t>
            </w:r>
          </w:p>
        </w:tc>
        <w:tc>
          <w:tcPr>
            <w:tcW w:w="1418" w:type="dxa"/>
          </w:tcPr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559" w:type="dxa"/>
          </w:tcPr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383" w:type="dxa"/>
          </w:tcPr>
          <w:p w:rsidR="0071646D" w:rsidRPr="00162F33" w:rsidRDefault="0071646D" w:rsidP="0071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71646D">
        <w:tc>
          <w:tcPr>
            <w:tcW w:w="534" w:type="dxa"/>
          </w:tcPr>
          <w:p w:rsidR="0071646D" w:rsidRDefault="0071646D" w:rsidP="00BC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7" w:type="dxa"/>
          </w:tcPr>
          <w:p w:rsidR="0071646D" w:rsidRDefault="0071646D" w:rsidP="00BC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71646D" w:rsidRDefault="0071646D" w:rsidP="00BC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71646D" w:rsidRDefault="0071646D" w:rsidP="00BC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83" w:type="dxa"/>
          </w:tcPr>
          <w:p w:rsidR="0071646D" w:rsidRDefault="0071646D" w:rsidP="00BC3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71646D" w:rsidTr="0071646D">
        <w:tc>
          <w:tcPr>
            <w:tcW w:w="534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Обеспеченность населения врачами</w:t>
            </w:r>
          </w:p>
          <w:p w:rsidR="0071646D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(на 10 тыс. человек населения)</w:t>
            </w:r>
          </w:p>
        </w:tc>
        <w:tc>
          <w:tcPr>
            <w:tcW w:w="1418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41,5</w:t>
            </w:r>
          </w:p>
        </w:tc>
        <w:tc>
          <w:tcPr>
            <w:tcW w:w="1559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41,3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41,0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71646D">
        <w:tc>
          <w:tcPr>
            <w:tcW w:w="534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Обеспеченность населения врачами,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оказывающими медицинскую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помощь в амбулаторных условиях</w:t>
            </w:r>
          </w:p>
          <w:p w:rsidR="0071646D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(на 10 тыс. человек населения)</w:t>
            </w:r>
          </w:p>
        </w:tc>
        <w:tc>
          <w:tcPr>
            <w:tcW w:w="1418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22,0</w:t>
            </w:r>
          </w:p>
        </w:tc>
        <w:tc>
          <w:tcPr>
            <w:tcW w:w="1559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22,0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22,1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71646D">
        <w:tc>
          <w:tcPr>
            <w:tcW w:w="534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Обеспеченность населения врачами,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оказывающими медицинскую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помощь в стационарных условиях</w:t>
            </w:r>
          </w:p>
          <w:p w:rsidR="0071646D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(на 10 тыс. человек населения)</w:t>
            </w:r>
          </w:p>
        </w:tc>
        <w:tc>
          <w:tcPr>
            <w:tcW w:w="1418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17,7</w:t>
            </w:r>
          </w:p>
        </w:tc>
        <w:tc>
          <w:tcPr>
            <w:tcW w:w="1559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17,6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17,5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71646D">
        <w:tc>
          <w:tcPr>
            <w:tcW w:w="534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Обеспеченность населения средним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медицинским персоналом</w:t>
            </w:r>
          </w:p>
          <w:p w:rsidR="0071646D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(на 10 тыс. человек населения)</w:t>
            </w:r>
          </w:p>
        </w:tc>
        <w:tc>
          <w:tcPr>
            <w:tcW w:w="1418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67,8</w:t>
            </w:r>
          </w:p>
        </w:tc>
        <w:tc>
          <w:tcPr>
            <w:tcW w:w="1559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67,4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67,0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71646D">
        <w:tc>
          <w:tcPr>
            <w:tcW w:w="534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Обеспеченность населения средним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медицинским персоналом,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оказывающим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медицинскую помощь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 амбулаторных условиях</w:t>
            </w:r>
          </w:p>
          <w:p w:rsidR="0071646D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(на 10 тыс. человек населения)</w:t>
            </w:r>
          </w:p>
        </w:tc>
        <w:tc>
          <w:tcPr>
            <w:tcW w:w="1418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24,4</w:t>
            </w:r>
          </w:p>
        </w:tc>
        <w:tc>
          <w:tcPr>
            <w:tcW w:w="1559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24,3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22,7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646D" w:rsidTr="0071646D">
        <w:tc>
          <w:tcPr>
            <w:tcW w:w="534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2.2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Обеспеченность населения средним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медицинским персоналом,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оказывающим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медицинскую помощь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 стационарных условиях</w:t>
            </w:r>
          </w:p>
          <w:p w:rsidR="0071646D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(на 10 тыс. человек населения)</w:t>
            </w:r>
          </w:p>
        </w:tc>
        <w:tc>
          <w:tcPr>
            <w:tcW w:w="1418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36,0</w:t>
            </w:r>
          </w:p>
        </w:tc>
        <w:tc>
          <w:tcPr>
            <w:tcW w:w="1559" w:type="dxa"/>
          </w:tcPr>
          <w:p w:rsidR="0071646D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35,8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  <w:p w:rsidR="0071646D" w:rsidRDefault="0071646D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расходов на оказание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 помощи в условиях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дневных стационаров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общих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расходах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на реализацию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Территориальной программы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5,1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5,8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расходов на оказание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медицинской помощи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амбулаторных условиях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неотложной форме в общих расходах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на реализацию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Территориальной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программы 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охвата диспансеризацией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взрослого населения, подлежащего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диспансеризации 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98,6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98,7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охвата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профилактическими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медицинскими осмотрами взрослого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населения, подлежащего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профилактическим медицинским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осмотрам 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94,5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94,6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охвата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профилактическими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медицинскими осмотрами детей,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подлежащих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профилактическим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медицинским осмотрам 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99,0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99,1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99,2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пациентов, получивших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специализированную медицинскую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помощь в стационарных условиях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медицинских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организациях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подведомственных федеральным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органам исполнительной власти,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общем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числе пациентов, которым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была оказана медицинская помощь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стационарных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условиях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в рамках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Территориальной программы ОМС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6,1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Доля посещений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выездной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патронажной службой на дому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оказания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паллиативной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медицинской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помощи взрослому населению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общем количестве посещений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паллиативной медицинской помощи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взрослому населению (проценты)</w:t>
            </w: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женщин, которым проведено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экстракорпоральное оплодотворение, в общем количестве женщин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бесплодием (проценты)</w:t>
            </w:r>
          </w:p>
        </w:tc>
        <w:tc>
          <w:tcPr>
            <w:tcW w:w="1418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75,5</w:t>
            </w:r>
          </w:p>
        </w:tc>
        <w:tc>
          <w:tcPr>
            <w:tcW w:w="1559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75,8</w:t>
            </w:r>
          </w:p>
        </w:tc>
        <w:tc>
          <w:tcPr>
            <w:tcW w:w="1383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75,9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4677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Доля записей к врачу, совершенных</w:t>
            </w:r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гражданами без очного обращения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регистратуру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медицинской</w:t>
            </w:r>
            <w:proofErr w:type="gramEnd"/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организации, в общем количестве</w:t>
            </w:r>
          </w:p>
          <w:p w:rsidR="00BC3FBF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записей к врачу (проценты)</w:t>
            </w:r>
          </w:p>
        </w:tc>
        <w:tc>
          <w:tcPr>
            <w:tcW w:w="1418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55,0</w:t>
            </w:r>
          </w:p>
        </w:tc>
        <w:tc>
          <w:tcPr>
            <w:tcW w:w="1559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58,0</w:t>
            </w:r>
          </w:p>
        </w:tc>
        <w:tc>
          <w:tcPr>
            <w:tcW w:w="1383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677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Число пациентов, получивших</w:t>
            </w:r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паллиативную медицинскую помощь</w:t>
            </w:r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 месту жительства, в том числе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BC3FBF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дому</w:t>
            </w:r>
          </w:p>
        </w:tc>
        <w:tc>
          <w:tcPr>
            <w:tcW w:w="1418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559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36 960</w:t>
            </w:r>
          </w:p>
        </w:tc>
        <w:tc>
          <w:tcPr>
            <w:tcW w:w="1383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38 000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677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Число пациентов, которым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оказана</w:t>
            </w:r>
            <w:proofErr w:type="gramEnd"/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паллиативная медицинская помощь</w:t>
            </w:r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по месту их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фактического</w:t>
            </w:r>
            <w:proofErr w:type="gramEnd"/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пребывания за пределами субъекта</w:t>
            </w:r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Российской Федерации, </w:t>
            </w: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территории</w:t>
            </w:r>
            <w:proofErr w:type="gramEnd"/>
            <w:r w:rsidRPr="00162F33">
              <w:rPr>
                <w:rFonts w:ascii="Times New Roman" w:hAnsi="Times New Roman" w:cs="Times New Roman"/>
                <w:sz w:val="27"/>
                <w:szCs w:val="27"/>
              </w:rPr>
              <w:t xml:space="preserve"> которого указанные</w:t>
            </w:r>
          </w:p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пациенты зарегистрированы по месту</w:t>
            </w:r>
          </w:p>
          <w:p w:rsidR="00BC3FBF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жительства</w:t>
            </w:r>
          </w:p>
        </w:tc>
        <w:tc>
          <w:tcPr>
            <w:tcW w:w="1418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559" w:type="dxa"/>
          </w:tcPr>
          <w:p w:rsidR="00BC3FBF" w:rsidRPr="00162F33" w:rsidRDefault="00840FA8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383" w:type="dxa"/>
          </w:tcPr>
          <w:p w:rsidR="00840FA8" w:rsidRPr="00162F33" w:rsidRDefault="00840FA8" w:rsidP="00840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62F33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3FBF" w:rsidTr="0071646D">
        <w:tc>
          <w:tcPr>
            <w:tcW w:w="534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C3FBF" w:rsidRPr="00162F33" w:rsidRDefault="00BC3FBF" w:rsidP="00162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3" w:type="dxa"/>
          </w:tcPr>
          <w:p w:rsidR="00BC3FBF" w:rsidRPr="00162F33" w:rsidRDefault="00BC3FBF" w:rsidP="00BC3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1646D" w:rsidRDefault="0071646D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FBF" w:rsidRPr="00840FA8" w:rsidRDefault="00840FA8" w:rsidP="00BC3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____________</w:t>
      </w:r>
    </w:p>
    <w:p w:rsidR="00162F33" w:rsidRPr="00162F33" w:rsidRDefault="00162F33" w:rsidP="001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96 процентах случаев.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>од прерванным случаем лечения заболевания понимается прерванный случай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оказания медицинской помощи при переводе пациента в другую медицинскую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 xml:space="preserve">организацию, преждевременной выписке пациента из медицинской </w:t>
      </w:r>
      <w:r w:rsidR="00840FA8" w:rsidRPr="00E26C6B">
        <w:rPr>
          <w:rFonts w:ascii="Times New Roman" w:hAnsi="Times New Roman" w:cs="Times New Roman"/>
          <w:sz w:val="24"/>
          <w:szCs w:val="24"/>
        </w:rPr>
        <w:t>о</w:t>
      </w:r>
      <w:r w:rsidRPr="00162F33">
        <w:rPr>
          <w:rFonts w:ascii="Times New Roman" w:hAnsi="Times New Roman" w:cs="Times New Roman"/>
          <w:sz w:val="24"/>
          <w:szCs w:val="24"/>
        </w:rPr>
        <w:t>рганизации,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летальном исходе, а также при проведении диагностических исследований.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указанный норматив объема медицинской помощи включен объем оказания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скорой специализированной медицинской помощи жителям города Москвы, в том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числе скорой специализированной психиатрической помощи, специализированной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санитарно-авиационной эвакуации, транспортировки и сопровождения по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медицинским показаниям больных, страдающих хронической почечной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недостаточностью, от места фактического проживания до места получения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медицинской помощи методом заместительной почечной терапии и обратно после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проведения указанных медицинских услуг, а также транспортировка и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сопровождение по медицинским показаниям граждан, страдающих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стоматологическими заболеваниями и нуждающихся в сопровождении по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медицинским показаниям от места фактического проживания до места получения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стоматологической помощи и обратно после проведения указанных медицинских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услуг.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норматив финансовых затрат на единицу объема медицинской помощи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включены расходы бюджета города Москвы на незастрахованных по обязательному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 xml:space="preserve">медицинскому страхованию. </w:t>
      </w:r>
      <w:proofErr w:type="gramStart"/>
      <w:r w:rsidRPr="00162F33">
        <w:rPr>
          <w:rFonts w:ascii="Times New Roman" w:hAnsi="Times New Roman" w:cs="Times New Roman"/>
          <w:sz w:val="24"/>
          <w:szCs w:val="24"/>
        </w:rPr>
        <w:t>Без учета указанных расходов норматив финансовых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затрат на один вызов скорой медицинской помощи за счет средств бюджета города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Москвы составляет 3 615,96 рубля на 2020 год, 3615,96 рубля на 2021 год,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3 615,96 рубля на 2022 год, норматив финансовых затрат на один случай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госпитализации в медицинских организациях (их структурных подразделениях),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оказывающих медицинскую помощь в стационарных условиях, за счет средств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города Москвы - 198 028,35 рубля на 2020 год, 206 993,53 рубля на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2021 год, 216 498,94 рубля на 2022 год.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Значения критериев смертности населения рассчитываются с учетом общего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числа умерших на территории города Москвы, в том числе жителей иных субъектов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Российской Федерации, иностранных граждан и лиц без гражданства, умерших во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 xml:space="preserve">всех медицинских </w:t>
      </w:r>
      <w:r w:rsidRPr="00162F33">
        <w:rPr>
          <w:rFonts w:ascii="Times New Roman" w:hAnsi="Times New Roman" w:cs="Times New Roman"/>
          <w:sz w:val="24"/>
          <w:szCs w:val="24"/>
        </w:rPr>
        <w:lastRenderedPageBreak/>
        <w:t>организациях (в том числе в федеральных медицинских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организациях и медицинских организациях частной системы здравоохранения).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остальных случаях к выполнению медицинского вмешательства имеются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медицинские противопоказания в связи с наличием сопутствующих заболеваний,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отказ пациента от медицинского вмешательства или применяются иные методы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лечения.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3-5 процентах случаев к выполнению медицинского вмешательства имеются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 xml:space="preserve">медицинские противопоказания в связи с наличием сопутствующих </w:t>
      </w:r>
      <w:r w:rsidR="00840FA8" w:rsidRPr="00E26C6B">
        <w:rPr>
          <w:rFonts w:ascii="Times New Roman" w:hAnsi="Times New Roman" w:cs="Times New Roman"/>
          <w:sz w:val="24"/>
          <w:szCs w:val="24"/>
        </w:rPr>
        <w:t>з</w:t>
      </w:r>
      <w:r w:rsidRPr="00162F33">
        <w:rPr>
          <w:rFonts w:ascii="Times New Roman" w:hAnsi="Times New Roman" w:cs="Times New Roman"/>
          <w:sz w:val="24"/>
          <w:szCs w:val="24"/>
        </w:rPr>
        <w:t>аболеваний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или отказ пациента от медицинского вмешательства.</w:t>
      </w:r>
    </w:p>
    <w:p w:rsidR="00162F33" w:rsidRPr="00162F33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норматив финансовых затрат на единицу объема медицинской помощи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включены расходы бюджета города Москвы на паллиативную медицинскую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помощь в амбулаторных условиях на дому выездными патронажными бригадами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паллиативной медицинской помощи. Без учета указанных расходов норматив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финансовых затрат на одно посещение с профилактическими и иными целями за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счет средств бюджета города Москвы составляет 1 458,91 рубля на 2020 год,</w:t>
      </w:r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1 528,19 рубля на 2021 год, 1 600,83 рубля на 2022 год.</w:t>
      </w:r>
    </w:p>
    <w:p w:rsidR="006906C3" w:rsidRPr="00E26C6B" w:rsidRDefault="00162F33" w:rsidP="00E26C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2F3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="00840FA8" w:rsidRP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162F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2F33">
        <w:rPr>
          <w:rFonts w:ascii="Times New Roman" w:hAnsi="Times New Roman" w:cs="Times New Roman"/>
          <w:sz w:val="24"/>
          <w:szCs w:val="24"/>
        </w:rPr>
        <w:t xml:space="preserve"> остальных случаях диагноз злокачественного новообразования</w:t>
      </w:r>
      <w:r w:rsidR="00E26C6B">
        <w:rPr>
          <w:rFonts w:ascii="Times New Roman" w:hAnsi="Times New Roman" w:cs="Times New Roman"/>
          <w:sz w:val="24"/>
          <w:szCs w:val="24"/>
        </w:rPr>
        <w:t xml:space="preserve"> </w:t>
      </w:r>
      <w:r w:rsidRPr="00E26C6B">
        <w:rPr>
          <w:rFonts w:ascii="Times New Roman" w:hAnsi="Times New Roman" w:cs="Times New Roman"/>
          <w:sz w:val="24"/>
          <w:szCs w:val="24"/>
        </w:rPr>
        <w:t>устанавливается посмертно.</w:t>
      </w:r>
    </w:p>
    <w:sectPr w:rsidR="006906C3" w:rsidRPr="00E26C6B" w:rsidSect="00162F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33"/>
    <w:rsid w:val="00034E59"/>
    <w:rsid w:val="00162F33"/>
    <w:rsid w:val="006906C3"/>
    <w:rsid w:val="0071646D"/>
    <w:rsid w:val="00840FA8"/>
    <w:rsid w:val="00BC3FBF"/>
    <w:rsid w:val="00E2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piar_2</dc:creator>
  <cp:lastModifiedBy>piar_2</cp:lastModifiedBy>
  <cp:revision>5</cp:revision>
  <dcterms:created xsi:type="dcterms:W3CDTF">2020-01-10T12:39:00Z</dcterms:created>
  <dcterms:modified xsi:type="dcterms:W3CDTF">2020-01-14T08:33:00Z</dcterms:modified>
</cp:coreProperties>
</file>